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w:t>
      </w:r>
      <w:r w:rsidR="00185B61">
        <w:rPr>
          <w:b/>
          <w:sz w:val="32"/>
          <w:szCs w:val="32"/>
        </w:rPr>
        <w:t>5</w:t>
      </w:r>
    </w:p>
    <w:p w:rsidR="00C0002F" w:rsidRPr="003A3785" w:rsidRDefault="00EA7316" w:rsidP="00A975B8">
      <w:pPr>
        <w:pStyle w:val="Zhlav"/>
        <w:tabs>
          <w:tab w:val="left" w:pos="0"/>
        </w:tabs>
        <w:jc w:val="center"/>
        <w:rPr>
          <w:b/>
          <w:i/>
          <w:sz w:val="32"/>
          <w:szCs w:val="32"/>
        </w:rPr>
      </w:pPr>
      <w:r w:rsidRPr="00EA7316">
        <w:rPr>
          <w:b/>
          <w:sz w:val="32"/>
          <w:szCs w:val="32"/>
        </w:rPr>
        <w:t xml:space="preserve">cestmistrovství </w:t>
      </w:r>
      <w:r w:rsidR="00F44C9C" w:rsidRPr="00F44C9C">
        <w:rPr>
          <w:b/>
          <w:sz w:val="32"/>
          <w:szCs w:val="32"/>
        </w:rPr>
        <w:t xml:space="preserve">Moravský Krumlov a Vranovská Ves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697C25">
      <w:pPr>
        <w:numPr>
          <w:ilvl w:val="0"/>
          <w:numId w:val="5"/>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697C25">
      <w:pPr>
        <w:numPr>
          <w:ilvl w:val="0"/>
          <w:numId w:val="1"/>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w:t>
      </w:r>
      <w:r w:rsidR="00EF1CF4">
        <w:rPr>
          <w:sz w:val="22"/>
          <w:szCs w:val="22"/>
        </w:rPr>
        <w:t xml:space="preserve"> v současnosti době </w:t>
      </w:r>
      <w:r w:rsidR="00EF1CF4" w:rsidRPr="006F7ACD">
        <w:rPr>
          <w:color w:val="000000"/>
          <w:sz w:val="22"/>
          <w:szCs w:val="22"/>
        </w:rPr>
        <w:t>MD</w:t>
      </w:r>
      <w:r w:rsidR="00EF1CF4">
        <w:rPr>
          <w:color w:val="000000"/>
          <w:sz w:val="22"/>
          <w:szCs w:val="22"/>
        </w:rPr>
        <w:t>-38959/2022-930/2 z 15.12.2022</w:t>
      </w:r>
      <w:r w:rsidR="00E47840" w:rsidRPr="00E47840">
        <w:rPr>
          <w:sz w:val="22"/>
          <w:szCs w:val="22"/>
        </w:rPr>
        <w:t>).</w:t>
      </w:r>
    </w:p>
    <w:p w:rsidR="00C0002F"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2C10C0">
        <w:rPr>
          <w:sz w:val="22"/>
          <w:szCs w:val="22"/>
        </w:rPr>
        <w:t xml:space="preserve">Zhotovitel prohlašuje, že si je vědom, že v případě, že bude vstupovat do dráhy Správy </w:t>
      </w:r>
      <w:r w:rsidR="00215EAA" w:rsidRPr="002C10C0">
        <w:rPr>
          <w:sz w:val="22"/>
          <w:szCs w:val="22"/>
        </w:rPr>
        <w:t xml:space="preserve">železnic </w:t>
      </w:r>
      <w:r w:rsidRPr="002C10C0">
        <w:rPr>
          <w:sz w:val="22"/>
          <w:szCs w:val="22"/>
        </w:rPr>
        <w:t xml:space="preserve"> musí disponovat příslušným dokladem o </w:t>
      </w:r>
      <w:r w:rsidR="00EF1CF4" w:rsidRPr="002C10C0">
        <w:rPr>
          <w:sz w:val="22"/>
          <w:szCs w:val="22"/>
        </w:rPr>
        <w:t xml:space="preserve">oprávnění ke vstupu na pozemky a stavby Správy železnic </w:t>
      </w:r>
      <w:r w:rsidR="002C10C0" w:rsidRPr="002C10C0">
        <w:rPr>
          <w:sz w:val="22"/>
          <w:szCs w:val="22"/>
        </w:rPr>
        <w:t xml:space="preserve"> dle </w:t>
      </w:r>
      <w:r w:rsidRPr="002C10C0">
        <w:rPr>
          <w:sz w:val="22"/>
          <w:szCs w:val="22"/>
        </w:rPr>
        <w:t xml:space="preserve">příslušné směrnice Správy </w:t>
      </w:r>
      <w:r w:rsidR="00215EAA" w:rsidRPr="002C10C0">
        <w:rPr>
          <w:sz w:val="22"/>
          <w:szCs w:val="22"/>
        </w:rPr>
        <w:t>železnic</w:t>
      </w:r>
      <w:r w:rsidRPr="002C10C0">
        <w:rPr>
          <w:sz w:val="22"/>
          <w:szCs w:val="22"/>
        </w:rPr>
        <w:t>, státní organizace.</w:t>
      </w:r>
    </w:p>
    <w:p w:rsidR="00A44892" w:rsidRPr="00A44892" w:rsidRDefault="00A44892" w:rsidP="006A69F0">
      <w:pPr>
        <w:tabs>
          <w:tab w:val="left" w:pos="0"/>
        </w:tabs>
        <w:spacing w:before="120" w:after="120"/>
        <w:jc w:val="both"/>
        <w:rPr>
          <w:sz w:val="22"/>
          <w:szCs w:val="22"/>
        </w:rPr>
      </w:pPr>
    </w:p>
    <w:p w:rsidR="00C0002F" w:rsidRPr="001435FC" w:rsidRDefault="00C0002F" w:rsidP="00697C25">
      <w:pPr>
        <w:numPr>
          <w:ilvl w:val="0"/>
          <w:numId w:val="5"/>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697C25">
      <w:pPr>
        <w:numPr>
          <w:ilvl w:val="0"/>
          <w:numId w:val="8"/>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697C25">
      <w:pPr>
        <w:numPr>
          <w:ilvl w:val="0"/>
          <w:numId w:val="8"/>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1E6D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1E6D43" w:rsidRPr="001E6D43">
        <w:rPr>
          <w:sz w:val="22"/>
          <w:szCs w:val="22"/>
        </w:rPr>
        <w:t xml:space="preserve">Rudolf Milerski,         e-mail: </w:t>
      </w:r>
      <w:hyperlink r:id="rId8" w:history="1">
        <w:r w:rsidR="001E6D43" w:rsidRPr="001E6D43">
          <w:rPr>
            <w:rStyle w:val="Hypertextovodkaz"/>
            <w:sz w:val="22"/>
            <w:szCs w:val="22"/>
          </w:rPr>
          <w:t>rudolf.milerski@susjmk.cz</w:t>
        </w:r>
      </w:hyperlink>
      <w:r w:rsidR="001E6D43" w:rsidRPr="001E6D43">
        <w:rPr>
          <w:sz w:val="22"/>
          <w:szCs w:val="22"/>
        </w:rPr>
        <w:t>, tel. +420 603 450 323,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185B61">
        <w:rPr>
          <w:sz w:val="22"/>
          <w:szCs w:val="22"/>
        </w:rPr>
        <w:t>.</w:t>
      </w:r>
      <w:r w:rsidR="00C0002F" w:rsidRPr="00EE086A">
        <w:rPr>
          <w:sz w:val="22"/>
          <w:szCs w:val="22"/>
        </w:rPr>
        <w:t xml:space="preserve"> nebo </w:t>
      </w:r>
      <w:r w:rsidR="00B00BA5">
        <w:rPr>
          <w:sz w:val="22"/>
          <w:szCs w:val="22"/>
        </w:rPr>
        <w:t>VII</w:t>
      </w:r>
      <w:r w:rsidR="00185B61">
        <w:rPr>
          <w:sz w:val="22"/>
          <w:szCs w:val="22"/>
        </w:rPr>
        <w:t>.</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E7EE5">
        <w:rPr>
          <w:sz w:val="22"/>
          <w:szCs w:val="22"/>
        </w:rPr>
        <w:t>5</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7151">
        <w:rPr>
          <w:sz w:val="22"/>
          <w:szCs w:val="22"/>
        </w:rPr>
        <w:t>1</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r w:rsidR="00EF1CF4">
        <w:rPr>
          <w:sz w:val="22"/>
          <w:szCs w:val="22"/>
        </w:rPr>
        <w:t xml:space="preserve"> dat</w:t>
      </w:r>
      <w:r w:rsidR="00215EAA">
        <w:rPr>
          <w:sz w:val="22"/>
          <w:szCs w:val="22"/>
        </w:rPr>
        <w:t>.</w:t>
      </w:r>
    </w:p>
    <w:p w:rsidR="00C0002F" w:rsidRPr="00227971" w:rsidRDefault="00C0002F" w:rsidP="00697C25">
      <w:pPr>
        <w:numPr>
          <w:ilvl w:val="0"/>
          <w:numId w:val="8"/>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697C25">
      <w:pPr>
        <w:numPr>
          <w:ilvl w:val="0"/>
          <w:numId w:val="8"/>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1E6D43" w:rsidRPr="001E6D43">
        <w:rPr>
          <w:sz w:val="22"/>
          <w:szCs w:val="22"/>
        </w:rPr>
        <w:t>SÚS JMK, Oblast Střed, Ořechovská 35, 619 00 Brno</w:t>
      </w:r>
      <w:r w:rsidR="003946A8" w:rsidRPr="003946A8">
        <w:rPr>
          <w:sz w:val="22"/>
          <w:szCs w:val="22"/>
        </w:rPr>
        <w:t>.</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w:t>
      </w:r>
      <w:r w:rsidR="00185B61">
        <w:rPr>
          <w:sz w:val="22"/>
          <w:szCs w:val="22"/>
        </w:rPr>
        <w:t>5</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w:t>
      </w:r>
      <w:r w:rsidR="00185B61">
        <w:rPr>
          <w:sz w:val="22"/>
          <w:szCs w:val="22"/>
        </w:rPr>
        <w:t>5</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00185B61">
        <w:rPr>
          <w:sz w:val="22"/>
          <w:szCs w:val="22"/>
        </w:rPr>
        <w:t>.</w:t>
      </w:r>
      <w:r w:rsidRPr="00A44892">
        <w:rPr>
          <w:sz w:val="22"/>
          <w:szCs w:val="22"/>
        </w:rPr>
        <w:t xml:space="preserve"> nebo </w:t>
      </w:r>
      <w:r>
        <w:rPr>
          <w:sz w:val="22"/>
          <w:szCs w:val="22"/>
        </w:rPr>
        <w:t>VII</w:t>
      </w:r>
      <w:r w:rsidR="00185B61">
        <w:rPr>
          <w:sz w:val="22"/>
          <w:szCs w:val="22"/>
        </w:rPr>
        <w:t>.</w:t>
      </w:r>
      <w:r>
        <w:rPr>
          <w:sz w:val="22"/>
          <w:szCs w:val="22"/>
        </w:rPr>
        <w:t>,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sidR="001E6D43">
        <w:rPr>
          <w:b/>
          <w:sz w:val="22"/>
          <w:szCs w:val="22"/>
        </w:rPr>
        <w:t>2</w:t>
      </w:r>
      <w:r w:rsidR="00185B61">
        <w:rPr>
          <w:b/>
          <w:sz w:val="22"/>
          <w:szCs w:val="22"/>
        </w:rPr>
        <w:t>5</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sidR="001E6D43">
        <w:rPr>
          <w:b/>
          <w:sz w:val="22"/>
          <w:szCs w:val="22"/>
        </w:rPr>
        <w:t>15.10.202</w:t>
      </w:r>
      <w:r w:rsidR="00185B61">
        <w:rPr>
          <w:b/>
          <w:sz w:val="22"/>
          <w:szCs w:val="22"/>
        </w:rPr>
        <w:t>5</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697C25">
      <w:pPr>
        <w:numPr>
          <w:ilvl w:val="0"/>
          <w:numId w:val="3"/>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A7C4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697C25">
      <w:pPr>
        <w:numPr>
          <w:ilvl w:val="0"/>
          <w:numId w:val="3"/>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697C25">
      <w:pPr>
        <w:numPr>
          <w:ilvl w:val="0"/>
          <w:numId w:val="3"/>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697C25">
      <w:pPr>
        <w:numPr>
          <w:ilvl w:val="0"/>
          <w:numId w:val="3"/>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w:t>
      </w:r>
      <w:r w:rsidR="00EF1CF4">
        <w:rPr>
          <w:sz w:val="22"/>
          <w:szCs w:val="22"/>
        </w:rPr>
        <w:t xml:space="preserve">dokladu </w:t>
      </w:r>
      <w:r w:rsidR="00DB78E3">
        <w:rPr>
          <w:sz w:val="22"/>
          <w:szCs w:val="22"/>
        </w:rPr>
        <w:t>zůstane bez zaokrouhlení.</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697C25">
      <w:pPr>
        <w:numPr>
          <w:ilvl w:val="0"/>
          <w:numId w:val="3"/>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697C25">
      <w:pPr>
        <w:numPr>
          <w:ilvl w:val="0"/>
          <w:numId w:val="3"/>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697C25">
      <w:pPr>
        <w:numPr>
          <w:ilvl w:val="0"/>
          <w:numId w:val="3"/>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697C25">
      <w:pPr>
        <w:numPr>
          <w:ilvl w:val="0"/>
          <w:numId w:val="2"/>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697C25">
      <w:pPr>
        <w:widowControl w:val="0"/>
        <w:numPr>
          <w:ilvl w:val="0"/>
          <w:numId w:val="2"/>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w:t>
      </w:r>
      <w:r w:rsidR="00EF1CF4">
        <w:rPr>
          <w:sz w:val="22"/>
          <w:szCs w:val="22"/>
        </w:rPr>
        <w:t xml:space="preserve">do 14 kalendářních dnů od uzavření </w:t>
      </w:r>
      <w:r w:rsidRPr="00456F94">
        <w:rPr>
          <w:sz w:val="22"/>
          <w:szCs w:val="22"/>
        </w:rPr>
        <w:t xml:space="preserve">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697C25">
      <w:pPr>
        <w:numPr>
          <w:ilvl w:val="0"/>
          <w:numId w:val="5"/>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697C25">
      <w:pPr>
        <w:numPr>
          <w:ilvl w:val="1"/>
          <w:numId w:val="4"/>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697C25">
      <w:pPr>
        <w:numPr>
          <w:ilvl w:val="1"/>
          <w:numId w:val="4"/>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697C25">
      <w:pPr>
        <w:numPr>
          <w:ilvl w:val="0"/>
          <w:numId w:val="4"/>
        </w:numPr>
        <w:tabs>
          <w:tab w:val="clear" w:pos="720"/>
          <w:tab w:val="num" w:pos="360"/>
        </w:tabs>
        <w:spacing w:before="120" w:after="12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697C25">
      <w:pPr>
        <w:numPr>
          <w:ilvl w:val="0"/>
          <w:numId w:val="4"/>
        </w:numPr>
        <w:tabs>
          <w:tab w:val="clear" w:pos="720"/>
          <w:tab w:val="num" w:pos="360"/>
        </w:tabs>
        <w:spacing w:before="120" w:after="120"/>
        <w:ind w:left="426" w:hanging="426"/>
        <w:jc w:val="both"/>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97C25">
      <w:pPr>
        <w:numPr>
          <w:ilvl w:val="0"/>
          <w:numId w:val="5"/>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697C25" w:rsidRPr="00697C25" w:rsidRDefault="00697C25" w:rsidP="00697C25">
      <w:pPr>
        <w:pStyle w:val="Odstavecseseznamem"/>
        <w:numPr>
          <w:ilvl w:val="0"/>
          <w:numId w:val="10"/>
        </w:numPr>
        <w:jc w:val="both"/>
        <w:rPr>
          <w:sz w:val="22"/>
          <w:szCs w:val="22"/>
        </w:rPr>
      </w:pPr>
      <w:r w:rsidRPr="00697C25">
        <w:rPr>
          <w:sz w:val="22"/>
          <w:szCs w:val="22"/>
        </w:rPr>
        <w:t>prodlení zhotovitele s plněním o více než 30 kalendářních dnů;</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v případě zahájení insolvenčního řízení dle zák. č. 182/2006 Sb., o úpadku a způsobech jeho řešení (insolvenční zákon), ve znění pozdějších předpisů vůči zhotoviteli, úpadku zhotovitele, prohlášení konkursu nebo zahájení řízení o nuceném vyrovnání před dokončením a předáním </w:t>
      </w:r>
      <w:r w:rsidR="00EF1CF4">
        <w:rPr>
          <w:sz w:val="22"/>
          <w:szCs w:val="22"/>
        </w:rPr>
        <w:t>plnění</w:t>
      </w:r>
      <w:r w:rsidRPr="00697C25">
        <w:rPr>
          <w:sz w:val="22"/>
          <w:szCs w:val="22"/>
        </w:rPr>
        <w:t>;</w:t>
      </w:r>
    </w:p>
    <w:p w:rsidR="00697C25" w:rsidRPr="00697C25" w:rsidRDefault="00697C25" w:rsidP="00697C25">
      <w:pPr>
        <w:pStyle w:val="Odstavecseseznamem"/>
        <w:numPr>
          <w:ilvl w:val="0"/>
          <w:numId w:val="10"/>
        </w:numPr>
        <w:jc w:val="both"/>
        <w:rPr>
          <w:sz w:val="22"/>
          <w:szCs w:val="22"/>
        </w:rPr>
      </w:pPr>
      <w:r w:rsidRPr="00697C25">
        <w:rPr>
          <w:sz w:val="22"/>
          <w:szCs w:val="22"/>
        </w:rPr>
        <w:t>zjistí-li se, že v nabídce zhotovitele k související veřejné zakázce byly uvedeny nepravdivé údaje;</w:t>
      </w:r>
    </w:p>
    <w:p w:rsidR="00697C25" w:rsidRPr="00697C25" w:rsidRDefault="00697C25" w:rsidP="00697C25">
      <w:pPr>
        <w:pStyle w:val="Odstavecseseznamem"/>
        <w:numPr>
          <w:ilvl w:val="0"/>
          <w:numId w:val="10"/>
        </w:numPr>
        <w:jc w:val="both"/>
        <w:rPr>
          <w:sz w:val="22"/>
          <w:szCs w:val="22"/>
        </w:rPr>
      </w:pPr>
      <w:r w:rsidRPr="00697C25">
        <w:rPr>
          <w:sz w:val="22"/>
          <w:szCs w:val="22"/>
        </w:rPr>
        <w:t>pokud zhotovitel poruší povinnosti stanovené čl. VII</w:t>
      </w:r>
      <w:r>
        <w:rPr>
          <w:sz w:val="22"/>
          <w:szCs w:val="22"/>
        </w:rPr>
        <w:t>.</w:t>
      </w:r>
      <w:r w:rsidRPr="00697C25">
        <w:rPr>
          <w:sz w:val="22"/>
          <w:szCs w:val="22"/>
        </w:rPr>
        <w:t xml:space="preserve"> této smlouvy;</w:t>
      </w:r>
    </w:p>
    <w:p w:rsidR="00697C25" w:rsidRPr="00697C25" w:rsidRDefault="00697C25" w:rsidP="00697C25">
      <w:pPr>
        <w:pStyle w:val="Odstavecseseznamem"/>
        <w:numPr>
          <w:ilvl w:val="0"/>
          <w:numId w:val="10"/>
        </w:numPr>
        <w:jc w:val="both"/>
        <w:rPr>
          <w:sz w:val="22"/>
          <w:szCs w:val="22"/>
        </w:rPr>
      </w:pPr>
      <w:r w:rsidRPr="00697C25">
        <w:rPr>
          <w:sz w:val="22"/>
          <w:szCs w:val="22"/>
        </w:rPr>
        <w:t>v souladu s § 223 zákona č. 134/2016 Sb., o zadávání veřejných zakázek.</w:t>
      </w:r>
    </w:p>
    <w:p w:rsidR="00697C25" w:rsidRPr="00B20D60" w:rsidRDefault="00697C25" w:rsidP="00697C25">
      <w:pPr>
        <w:ind w:left="360"/>
        <w:jc w:val="both"/>
        <w:rPr>
          <w:sz w:val="22"/>
          <w:szCs w:val="22"/>
        </w:rPr>
      </w:pPr>
      <w:r w:rsidRPr="00B20D60">
        <w:rPr>
          <w:sz w:val="22"/>
          <w:szCs w:val="22"/>
        </w:rPr>
        <w:t>Zhotovitel je oprávněn od této smlouvy odstoupit v případě:</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úpadku objednatele ve smyslu §3 zák. č. 182/2006 Sb., o úpadku a způsobech jeho řešení (insolvenční zákon), ve znění pozdějších předpisů, prohlášení konkursu nebo zahájení řízení o nuceném vyrovnání před </w:t>
      </w:r>
      <w:r w:rsidR="00EF1CF4">
        <w:rPr>
          <w:sz w:val="22"/>
          <w:szCs w:val="22"/>
        </w:rPr>
        <w:t>dokončením a předáním plnění</w:t>
      </w:r>
      <w:r w:rsidRPr="00697C25">
        <w:rPr>
          <w:sz w:val="22"/>
          <w:szCs w:val="22"/>
        </w:rPr>
        <w:t>;</w:t>
      </w:r>
    </w:p>
    <w:p w:rsidR="00C0002F" w:rsidRPr="00697C25" w:rsidRDefault="00C0002F" w:rsidP="00697C25">
      <w:pPr>
        <w:pStyle w:val="Odstavecseseznamem"/>
        <w:widowControl w:val="0"/>
        <w:numPr>
          <w:ilvl w:val="0"/>
          <w:numId w:val="10"/>
        </w:numPr>
        <w:autoSpaceDE w:val="0"/>
        <w:autoSpaceDN w:val="0"/>
        <w:adjustRightInd w:val="0"/>
        <w:jc w:val="both"/>
        <w:rPr>
          <w:sz w:val="22"/>
          <w:szCs w:val="22"/>
        </w:rPr>
      </w:pPr>
      <w:r w:rsidRPr="00697C25">
        <w:rPr>
          <w:sz w:val="22"/>
          <w:szCs w:val="22"/>
        </w:rPr>
        <w:t>prodlení objednatele s úhradou faktur o více než 60 dnů.</w:t>
      </w:r>
    </w:p>
    <w:p w:rsidR="00697C25" w:rsidRPr="00697C25" w:rsidRDefault="00697C25" w:rsidP="00697C25">
      <w:pPr>
        <w:widowControl w:val="0"/>
        <w:numPr>
          <w:ilvl w:val="0"/>
          <w:numId w:val="6"/>
        </w:numPr>
        <w:autoSpaceDE w:val="0"/>
        <w:autoSpaceDN w:val="0"/>
        <w:adjustRightInd w:val="0"/>
        <w:spacing w:before="120"/>
        <w:ind w:left="425" w:hanging="425"/>
        <w:jc w:val="both"/>
        <w:rPr>
          <w:sz w:val="22"/>
          <w:szCs w:val="22"/>
        </w:rPr>
      </w:pPr>
      <w:r w:rsidRPr="00697C25">
        <w:rPr>
          <w:sz w:val="22"/>
          <w:szCs w:val="22"/>
        </w:rPr>
        <w:t xml:space="preserve">Odstoupením od smlouvy smlouva zaniká okamžikem doručení písemného oznámení o odstoupení druhé smluvní straně. Odstoupením od smlouvy nejsou dotčena ustanovení týkající se smluvních pokut, </w:t>
      </w:r>
      <w:r w:rsidRPr="00697C25">
        <w:rPr>
          <w:sz w:val="22"/>
          <w:szCs w:val="22"/>
        </w:rPr>
        <w:lastRenderedPageBreak/>
        <w:t>úroků z prodlení, náhrad škod, ochrany osobních údajů fyzických osob a ustanovení týkající se těch práv a povinností, z jejichž povahy vyplývá, že mají trvat i po odstoupení.</w:t>
      </w:r>
    </w:p>
    <w:p w:rsidR="00FC3F87" w:rsidRDefault="00FC3F87" w:rsidP="00FC3F87">
      <w:pPr>
        <w:widowControl w:val="0"/>
        <w:autoSpaceDE w:val="0"/>
        <w:autoSpaceDN w:val="0"/>
        <w:adjustRightInd w:val="0"/>
        <w:spacing w:before="120"/>
        <w:ind w:left="425"/>
        <w:jc w:val="both"/>
        <w:rPr>
          <w:sz w:val="22"/>
          <w:szCs w:val="22"/>
        </w:rPr>
      </w:pPr>
    </w:p>
    <w:p w:rsidR="00697C25" w:rsidRPr="00614C07" w:rsidRDefault="00697C25" w:rsidP="00697C25">
      <w:pPr>
        <w:numPr>
          <w:ilvl w:val="0"/>
          <w:numId w:val="5"/>
        </w:numPr>
        <w:tabs>
          <w:tab w:val="clear" w:pos="1080"/>
          <w:tab w:val="num" w:pos="540"/>
        </w:tabs>
        <w:spacing w:before="120" w:after="120"/>
        <w:ind w:left="540" w:hanging="540"/>
        <w:rPr>
          <w:b/>
          <w:smallCaps/>
          <w:sz w:val="22"/>
          <w:szCs w:val="22"/>
        </w:rPr>
      </w:pPr>
      <w:r>
        <w:rPr>
          <w:b/>
          <w:sz w:val="22"/>
          <w:szCs w:val="22"/>
        </w:rPr>
        <w:t>DALŠÍ POVINNOSTI ZHOTOVITELE</w:t>
      </w:r>
    </w:p>
    <w:p w:rsidR="00697C25" w:rsidRPr="00B20D60" w:rsidRDefault="00697C25" w:rsidP="00697C25">
      <w:pPr>
        <w:tabs>
          <w:tab w:val="left" w:pos="426"/>
        </w:tabs>
        <w:ind w:left="360" w:hanging="502"/>
        <w:jc w:val="both"/>
        <w:rPr>
          <w:sz w:val="22"/>
          <w:szCs w:val="22"/>
        </w:rPr>
      </w:pPr>
      <w:r>
        <w:rPr>
          <w:sz w:val="22"/>
          <w:szCs w:val="22"/>
        </w:rPr>
        <w:t xml:space="preserve">   </w:t>
      </w:r>
      <w:r w:rsidRPr="00B20D60">
        <w:rPr>
          <w:sz w:val="22"/>
          <w:szCs w:val="22"/>
        </w:rPr>
        <w:t>1</w:t>
      </w:r>
      <w:r>
        <w:rPr>
          <w:sz w:val="22"/>
          <w:szCs w:val="22"/>
        </w:rPr>
        <w:t>.</w:t>
      </w:r>
      <w:r w:rsidRPr="00B20D60">
        <w:rPr>
          <w:sz w:val="22"/>
          <w:szCs w:val="22"/>
        </w:rPr>
        <w:t xml:space="preserve"> </w:t>
      </w:r>
      <w:r>
        <w:rPr>
          <w:sz w:val="22"/>
          <w:szCs w:val="22"/>
        </w:rPr>
        <w:t xml:space="preserve">  Zhotovitel</w:t>
      </w:r>
      <w:r w:rsidRPr="00B20D60">
        <w:rPr>
          <w:sz w:val="22"/>
          <w:szCs w:val="22"/>
        </w:rPr>
        <w:t xml:space="preserve"> se zavazuje, že </w:t>
      </w:r>
    </w:p>
    <w:p w:rsidR="00697C25" w:rsidRPr="00B20D60" w:rsidRDefault="00697C25" w:rsidP="00697C25">
      <w:pPr>
        <w:tabs>
          <w:tab w:val="left" w:pos="360"/>
        </w:tabs>
        <w:ind w:left="709" w:hanging="283"/>
        <w:jc w:val="both"/>
        <w:rPr>
          <w:sz w:val="22"/>
          <w:szCs w:val="22"/>
        </w:rPr>
      </w:pPr>
      <w:r w:rsidRPr="00B20D60">
        <w:rPr>
          <w:sz w:val="22"/>
          <w:szCs w:val="22"/>
        </w:rPr>
        <w:t>a)  zapojí do plnění dle této smlouvy  výhradně osoby zaměstnané legálně v souladu s tuzemskou právní  úpravou,</w:t>
      </w:r>
    </w:p>
    <w:p w:rsidR="00697C25" w:rsidRPr="00B20D60" w:rsidRDefault="00697C25" w:rsidP="00697C25">
      <w:pPr>
        <w:tabs>
          <w:tab w:val="left" w:pos="360"/>
        </w:tabs>
        <w:ind w:left="709" w:hanging="283"/>
        <w:jc w:val="both"/>
        <w:rPr>
          <w:sz w:val="22"/>
          <w:szCs w:val="22"/>
        </w:rPr>
      </w:pPr>
      <w:r w:rsidRPr="00B20D60">
        <w:rPr>
          <w:sz w:val="22"/>
          <w:szCs w:val="22"/>
        </w:rPr>
        <w:t>b) bude vytvářet pro osoby zapojené do plnění této smlouvy důstojné pracovní podmínky, zejména důsledně dodržovat svoje povinnosti v oblasti ochrany bezpečnosti a zdraví při práci.</w:t>
      </w:r>
    </w:p>
    <w:p w:rsidR="00697C25" w:rsidRPr="00B20D60" w:rsidRDefault="00697C25" w:rsidP="00697C25">
      <w:pPr>
        <w:tabs>
          <w:tab w:val="left" w:pos="360"/>
        </w:tabs>
        <w:ind w:left="851" w:hanging="425"/>
        <w:jc w:val="both"/>
        <w:rPr>
          <w:sz w:val="22"/>
          <w:szCs w:val="22"/>
        </w:rPr>
      </w:pPr>
      <w:r w:rsidRPr="00B20D60">
        <w:rPr>
          <w:sz w:val="22"/>
          <w:szCs w:val="22"/>
        </w:rPr>
        <w:t>c</w:t>
      </w:r>
    </w:p>
    <w:p w:rsidR="00697C25" w:rsidRPr="00B20D60" w:rsidRDefault="00697C25" w:rsidP="00697C25">
      <w:pPr>
        <w:tabs>
          <w:tab w:val="left" w:pos="360"/>
        </w:tabs>
        <w:ind w:left="426" w:hanging="426"/>
        <w:jc w:val="both"/>
        <w:rPr>
          <w:sz w:val="22"/>
          <w:szCs w:val="22"/>
        </w:rPr>
      </w:pPr>
      <w:r w:rsidRPr="00B20D60">
        <w:rPr>
          <w:sz w:val="22"/>
          <w:szCs w:val="22"/>
        </w:rPr>
        <w:t xml:space="preserve">2 </w:t>
      </w:r>
      <w:r>
        <w:rPr>
          <w:sz w:val="22"/>
          <w:szCs w:val="22"/>
        </w:rPr>
        <w:t xml:space="preserve"> Zhotovitel</w:t>
      </w:r>
      <w:r w:rsidRPr="00B20D60">
        <w:rPr>
          <w:sz w:val="22"/>
          <w:szCs w:val="22"/>
        </w:rPr>
        <w:t xml:space="preserve"> je povinen na žádost </w:t>
      </w:r>
      <w:r>
        <w:rPr>
          <w:sz w:val="22"/>
          <w:szCs w:val="22"/>
        </w:rPr>
        <w:t>objednatele</w:t>
      </w:r>
      <w:r w:rsidRPr="00B20D60">
        <w:rPr>
          <w:sz w:val="22"/>
          <w:szCs w:val="22"/>
        </w:rPr>
        <w:t xml:space="preserve"> kdykoliv během účinnosti této smlouvy splnění         povinností dle odst. 1 tohoto článku doložit relevantními doklady apod.</w:t>
      </w:r>
    </w:p>
    <w:p w:rsidR="00697C25" w:rsidRPr="00B20D60" w:rsidRDefault="00697C25" w:rsidP="00697C25">
      <w:pPr>
        <w:tabs>
          <w:tab w:val="left" w:pos="360"/>
        </w:tabs>
        <w:ind w:left="426" w:hanging="426"/>
        <w:jc w:val="both"/>
        <w:rPr>
          <w:sz w:val="22"/>
          <w:szCs w:val="22"/>
        </w:rPr>
      </w:pPr>
    </w:p>
    <w:p w:rsidR="00697C25" w:rsidRPr="00B20D60" w:rsidRDefault="00697C25" w:rsidP="00697C25">
      <w:pPr>
        <w:ind w:left="426" w:hanging="426"/>
        <w:jc w:val="both"/>
        <w:rPr>
          <w:sz w:val="22"/>
          <w:szCs w:val="22"/>
        </w:rPr>
      </w:pPr>
      <w:r w:rsidRPr="00B20D60">
        <w:rPr>
          <w:sz w:val="22"/>
          <w:szCs w:val="22"/>
        </w:rPr>
        <w:t>3</w:t>
      </w:r>
      <w:r>
        <w:rPr>
          <w:sz w:val="22"/>
          <w:szCs w:val="22"/>
        </w:rPr>
        <w:t>.</w:t>
      </w:r>
      <w:r w:rsidRPr="00B20D60">
        <w:rPr>
          <w:sz w:val="22"/>
          <w:szCs w:val="22"/>
        </w:rPr>
        <w:t xml:space="preserve"> </w:t>
      </w:r>
      <w:r>
        <w:rPr>
          <w:sz w:val="22"/>
          <w:szCs w:val="22"/>
        </w:rPr>
        <w:t xml:space="preserve">   Zhotovitel</w:t>
      </w:r>
      <w:r w:rsidRPr="00B20D60">
        <w:rPr>
          <w:sz w:val="22"/>
          <w:szCs w:val="22"/>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697C25" w:rsidRDefault="00697C25" w:rsidP="00697C25">
      <w:pPr>
        <w:tabs>
          <w:tab w:val="num" w:pos="540"/>
        </w:tabs>
        <w:spacing w:before="120" w:after="120"/>
        <w:ind w:left="540"/>
        <w:rPr>
          <w:b/>
          <w:smallCaps/>
          <w:sz w:val="22"/>
          <w:szCs w:val="22"/>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697C25">
      <w:pPr>
        <w:widowControl w:val="0"/>
        <w:numPr>
          <w:ilvl w:val="0"/>
          <w:numId w:val="9"/>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CD7901">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a  II.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331F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r w:rsidR="00EF1CF4">
        <w:rPr>
          <w:sz w:val="22"/>
          <w:szCs w:val="22"/>
        </w:rPr>
        <w:t xml:space="preserve"> na tuto zakázku</w:t>
      </w:r>
      <w:r w:rsidRPr="00DC3DD5">
        <w:rPr>
          <w:sz w:val="22"/>
          <w:szCs w:val="22"/>
        </w:rPr>
        <w:t>.</w:t>
      </w:r>
    </w:p>
    <w:p w:rsidR="00C0002F" w:rsidRPr="008B6EF7"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97C25" w:rsidRPr="00697C25" w:rsidRDefault="00697C25" w:rsidP="00697C25">
      <w:pPr>
        <w:widowControl w:val="0"/>
        <w:numPr>
          <w:ilvl w:val="0"/>
          <w:numId w:val="9"/>
        </w:numPr>
        <w:autoSpaceDE w:val="0"/>
        <w:autoSpaceDN w:val="0"/>
        <w:adjustRightInd w:val="0"/>
        <w:spacing w:after="120"/>
        <w:ind w:left="425" w:hanging="425"/>
        <w:jc w:val="both"/>
        <w:rPr>
          <w:color w:val="000000"/>
          <w:sz w:val="22"/>
          <w:szCs w:val="22"/>
        </w:rPr>
      </w:pPr>
      <w:r w:rsidRPr="00697C25">
        <w:rPr>
          <w:color w:val="000000"/>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r w:rsidRPr="00697C25">
        <w:rPr>
          <w:color w:val="000000"/>
          <w:sz w:val="22"/>
          <w:szCs w:val="22"/>
          <w:highlight w:val="yellow"/>
        </w:rPr>
        <w:t>…………………..</w:t>
      </w:r>
      <w:r w:rsidRPr="00697C25">
        <w:rPr>
          <w:color w:val="000000"/>
          <w:sz w:val="22"/>
          <w:szCs w:val="22"/>
        </w:rPr>
        <w:t xml:space="preserve"> Zhotovitel si ověří před zahájením plnění smlouvy její uveřejnění v registru smluv.</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97C25" w:rsidRPr="00697C25" w:rsidRDefault="00697C25" w:rsidP="00697C25">
      <w:pPr>
        <w:widowControl w:val="0"/>
        <w:numPr>
          <w:ilvl w:val="0"/>
          <w:numId w:val="9"/>
        </w:numPr>
        <w:autoSpaceDE w:val="0"/>
        <w:autoSpaceDN w:val="0"/>
        <w:adjustRightInd w:val="0"/>
        <w:spacing w:after="120"/>
        <w:ind w:left="425" w:hanging="425"/>
        <w:jc w:val="both"/>
        <w:rPr>
          <w:sz w:val="22"/>
          <w:szCs w:val="22"/>
        </w:rPr>
      </w:pPr>
      <w:r w:rsidRPr="00697C25">
        <w:rPr>
          <w:sz w:val="22"/>
          <w:szCs w:val="22"/>
        </w:rPr>
        <w:t>Smluvní strany se dohodly, že na jejich vztah upravený touto smlouvou se neužijí ustanovení §1978 odst. 2 občanského zákoníku.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 xml:space="preserve">účinnou legislativou, zejména </w:t>
      </w:r>
      <w:r w:rsidR="006212C8">
        <w:rPr>
          <w:sz w:val="22"/>
          <w:szCs w:val="22"/>
        </w:rPr>
        <w:lastRenderedPageBreak/>
        <w:t>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85B61">
        <w:rPr>
          <w:sz w:val="22"/>
          <w:szCs w:val="22"/>
        </w:rPr>
        <w:t>5</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6" w:type="dxa"/>
        <w:tblInd w:w="70" w:type="dxa"/>
        <w:tblCellMar>
          <w:left w:w="70" w:type="dxa"/>
          <w:right w:w="70" w:type="dxa"/>
        </w:tblCellMar>
        <w:tblLook w:val="0000" w:firstRow="0" w:lastRow="0" w:firstColumn="0" w:lastColumn="0" w:noHBand="0" w:noVBand="0"/>
      </w:tblPr>
      <w:tblGrid>
        <w:gridCol w:w="160"/>
        <w:gridCol w:w="227"/>
        <w:gridCol w:w="98"/>
        <w:gridCol w:w="73"/>
        <w:gridCol w:w="310"/>
        <w:gridCol w:w="692"/>
        <w:gridCol w:w="141"/>
        <w:gridCol w:w="2655"/>
        <w:gridCol w:w="234"/>
        <w:gridCol w:w="128"/>
        <w:gridCol w:w="749"/>
        <w:gridCol w:w="345"/>
        <w:gridCol w:w="90"/>
        <w:gridCol w:w="752"/>
        <w:gridCol w:w="377"/>
        <w:gridCol w:w="340"/>
        <w:gridCol w:w="334"/>
        <w:gridCol w:w="888"/>
        <w:gridCol w:w="228"/>
        <w:gridCol w:w="757"/>
        <w:gridCol w:w="129"/>
        <w:gridCol w:w="279"/>
      </w:tblGrid>
      <w:tr w:rsidR="005430C8" w:rsidRPr="00D8626A"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6"/>
            <w:tcBorders>
              <w:top w:val="nil"/>
              <w:left w:val="nil"/>
              <w:bottom w:val="nil"/>
              <w:right w:val="nil"/>
            </w:tcBorders>
            <w:noWrap/>
            <w:vAlign w:val="bottom"/>
          </w:tcPr>
          <w:p w:rsidR="005430C8" w:rsidRPr="00A975B8" w:rsidRDefault="00003B8C" w:rsidP="00EA7316">
            <w:pPr>
              <w:ind w:firstLine="16"/>
              <w:rPr>
                <w:b/>
                <w:sz w:val="22"/>
                <w:szCs w:val="22"/>
                <w:u w:val="single"/>
              </w:rPr>
            </w:pPr>
            <w:r>
              <w:rPr>
                <w:b/>
                <w:sz w:val="22"/>
                <w:szCs w:val="22"/>
                <w:u w:val="single"/>
              </w:rPr>
              <w:t xml:space="preserve">Oblast </w:t>
            </w:r>
            <w:r w:rsidR="00EA7316">
              <w:rPr>
                <w:b/>
                <w:sz w:val="22"/>
                <w:szCs w:val="22"/>
                <w:u w:val="single"/>
              </w:rPr>
              <w:t>Západ</w:t>
            </w:r>
            <w:r>
              <w:rPr>
                <w:b/>
                <w:sz w:val="22"/>
                <w:szCs w:val="22"/>
                <w:u w:val="single"/>
              </w:rPr>
              <w:t xml:space="preserve"> - </w:t>
            </w:r>
            <w:r w:rsidR="00277A77" w:rsidRPr="00277A77">
              <w:rPr>
                <w:b/>
                <w:sz w:val="22"/>
                <w:szCs w:val="22"/>
                <w:u w:val="single"/>
              </w:rPr>
              <w:t xml:space="preserve">Cestmistrovství </w:t>
            </w:r>
            <w:r w:rsidR="00F44C9C" w:rsidRPr="00F44C9C">
              <w:rPr>
                <w:b/>
                <w:sz w:val="22"/>
                <w:szCs w:val="22"/>
                <w:u w:val="single"/>
              </w:rPr>
              <w:t>Moravský Krumlov</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441" w:type="dxa"/>
            <w:gridSpan w:val="6"/>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0A0BD1"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6"/>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1" w:type="dxa"/>
            <w:gridSpan w:val="6"/>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gridSpan w:val="2"/>
            <w:tcBorders>
              <w:top w:val="nil"/>
              <w:left w:val="nil"/>
              <w:bottom w:val="nil"/>
              <w:right w:val="nil"/>
            </w:tcBorders>
            <w:noWrap/>
            <w:vAlign w:val="bottom"/>
          </w:tcPr>
          <w:p w:rsidR="005430C8" w:rsidRPr="000A0BD1" w:rsidRDefault="005430C8">
            <w:pPr>
              <w:rPr>
                <w:sz w:val="16"/>
                <w:szCs w:val="16"/>
              </w:rPr>
            </w:pPr>
          </w:p>
        </w:tc>
        <w:tc>
          <w:tcPr>
            <w:tcW w:w="1116" w:type="dxa"/>
            <w:gridSpan w:val="2"/>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7919F6">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F44C9C" w:rsidTr="007919F6">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rPr>
                <w:rFonts w:ascii="Arial CE" w:hAnsi="Arial CE" w:cs="Arial CE"/>
                <w:sz w:val="20"/>
                <w:szCs w:val="20"/>
              </w:rPr>
            </w:pPr>
            <w:r>
              <w:rPr>
                <w:rFonts w:ascii="Arial CE" w:hAnsi="Arial CE" w:cs="Arial CE"/>
                <w:sz w:val="20"/>
                <w:szCs w:val="20"/>
              </w:rPr>
              <w:t>396-003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Rešický potok v Rešicích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7,80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sidRPr="001405ED">
              <w:rPr>
                <w:rFonts w:ascii="Arial" w:hAnsi="Arial" w:cs="Arial"/>
                <w:sz w:val="20"/>
                <w:szCs w:val="20"/>
                <w:highlight w:val="yellow"/>
              </w:rPr>
              <w:t>***</w:t>
            </w:r>
          </w:p>
        </w:tc>
      </w:tr>
      <w:tr w:rsidR="00F44C9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rPr>
                <w:rFonts w:ascii="Arial CE" w:hAnsi="Arial CE" w:cs="Arial CE"/>
                <w:sz w:val="20"/>
                <w:szCs w:val="20"/>
              </w:rPr>
            </w:pPr>
            <w:r>
              <w:rPr>
                <w:rFonts w:ascii="Arial CE" w:hAnsi="Arial CE" w:cs="Arial CE"/>
                <w:sz w:val="20"/>
                <w:szCs w:val="20"/>
              </w:rPr>
              <w:t>413-002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Dobřínský potok za Moravským Krumlovem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7,00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44C9C" w:rsidRDefault="00F44C9C" w:rsidP="00F44C9C">
            <w:pPr>
              <w:jc w:val="center"/>
            </w:pPr>
            <w:r w:rsidRPr="009833AB">
              <w:rPr>
                <w:rFonts w:ascii="Arial" w:hAnsi="Arial" w:cs="Arial"/>
                <w:sz w:val="20"/>
                <w:szCs w:val="20"/>
                <w:highlight w:val="yellow"/>
              </w:rPr>
              <w:t>***</w:t>
            </w:r>
          </w:p>
        </w:tc>
      </w:tr>
      <w:tr w:rsidR="00F44C9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rPr>
                <w:rFonts w:ascii="Arial CE" w:hAnsi="Arial CE" w:cs="Arial CE"/>
                <w:sz w:val="20"/>
                <w:szCs w:val="20"/>
              </w:rPr>
            </w:pPr>
            <w:r>
              <w:rPr>
                <w:rFonts w:ascii="Arial CE" w:hAnsi="Arial CE" w:cs="Arial CE"/>
                <w:sz w:val="20"/>
                <w:szCs w:val="20"/>
              </w:rPr>
              <w:t>413-006</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Ledvický potok před Dobelicemi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3,60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44C9C" w:rsidRDefault="00F44C9C" w:rsidP="00F44C9C">
            <w:pPr>
              <w:jc w:val="center"/>
            </w:pPr>
            <w:r w:rsidRPr="009833AB">
              <w:rPr>
                <w:rFonts w:ascii="Arial" w:hAnsi="Arial" w:cs="Arial"/>
                <w:sz w:val="20"/>
                <w:szCs w:val="20"/>
                <w:highlight w:val="yellow"/>
              </w:rPr>
              <w:t>***</w:t>
            </w:r>
          </w:p>
        </w:tc>
      </w:tr>
      <w:tr w:rsidR="00F44C9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rPr>
                <w:rFonts w:ascii="Arial CE" w:hAnsi="Arial CE" w:cs="Arial CE"/>
                <w:sz w:val="20"/>
                <w:szCs w:val="20"/>
              </w:rPr>
            </w:pPr>
            <w:r>
              <w:rPr>
                <w:rFonts w:ascii="Arial CE" w:hAnsi="Arial CE" w:cs="Arial CE"/>
                <w:sz w:val="20"/>
                <w:szCs w:val="20"/>
              </w:rPr>
              <w:t>413-009</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Míšovický potok v Hostěradicích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10,50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44C9C" w:rsidRDefault="00F44C9C" w:rsidP="00F44C9C">
            <w:pPr>
              <w:jc w:val="center"/>
            </w:pPr>
            <w:r w:rsidRPr="009833AB">
              <w:rPr>
                <w:rFonts w:ascii="Arial" w:hAnsi="Arial" w:cs="Arial"/>
                <w:sz w:val="20"/>
                <w:szCs w:val="20"/>
                <w:highlight w:val="yellow"/>
              </w:rPr>
              <w:t>***</w:t>
            </w:r>
          </w:p>
        </w:tc>
      </w:tr>
      <w:tr w:rsidR="00F44C9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rPr>
                <w:rFonts w:ascii="Arial CE" w:hAnsi="Arial CE" w:cs="Arial CE"/>
                <w:sz w:val="20"/>
                <w:szCs w:val="20"/>
              </w:rPr>
            </w:pPr>
            <w:r>
              <w:rPr>
                <w:rFonts w:ascii="Arial CE" w:hAnsi="Arial CE" w:cs="Arial CE"/>
                <w:sz w:val="20"/>
                <w:szCs w:val="20"/>
              </w:rPr>
              <w:t>3962-1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Olbramovický potok v Olbramovicích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2,70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44C9C" w:rsidRDefault="00F44C9C" w:rsidP="00F44C9C">
            <w:pPr>
              <w:jc w:val="center"/>
            </w:pPr>
            <w:r w:rsidRPr="009833AB">
              <w:rPr>
                <w:rFonts w:ascii="Arial" w:hAnsi="Arial" w:cs="Arial"/>
                <w:sz w:val="20"/>
                <w:szCs w:val="20"/>
                <w:highlight w:val="yellow"/>
              </w:rPr>
              <w:t>***</w:t>
            </w:r>
          </w:p>
        </w:tc>
      </w:tr>
      <w:tr w:rsidR="00EC1D30" w:rsidTr="007919F6">
        <w:tblPrEx>
          <w:tblLook w:val="04A0" w:firstRow="1" w:lastRow="0" w:firstColumn="1" w:lastColumn="0" w:noHBand="0" w:noVBand="1"/>
        </w:tblPrEx>
        <w:trPr>
          <w:trHeight w:val="332"/>
        </w:trPr>
        <w:tc>
          <w:tcPr>
            <w:tcW w:w="882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7919F6">
        <w:tblPrEx>
          <w:tblLook w:val="04A0" w:firstRow="1" w:lastRow="0" w:firstColumn="1" w:lastColumn="0" w:noHBand="0" w:noVBand="1"/>
        </w:tblPrEx>
        <w:trPr>
          <w:trHeight w:val="419"/>
        </w:trPr>
        <w:tc>
          <w:tcPr>
            <w:tcW w:w="882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p w:rsidR="007919F6" w:rsidRPr="003F0D50" w:rsidRDefault="007919F6" w:rsidP="001405ED">
            <w:pPr>
              <w:rPr>
                <w:rFonts w:ascii="Arial" w:hAnsi="Arial" w:cs="Arial"/>
                <w:b/>
                <w:sz w:val="20"/>
                <w:szCs w:val="20"/>
              </w:rPr>
            </w:pP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7919F6" w:rsidRPr="00D8626A" w:rsidTr="007919F6">
        <w:trPr>
          <w:gridAfter w:val="2"/>
          <w:wAfter w:w="408" w:type="dxa"/>
          <w:trHeight w:val="270"/>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A975B8" w:rsidRDefault="007919F6" w:rsidP="00225925">
            <w:pPr>
              <w:rPr>
                <w:b/>
                <w:sz w:val="22"/>
                <w:szCs w:val="22"/>
                <w:u w:val="single"/>
              </w:rPr>
            </w:pPr>
          </w:p>
        </w:tc>
        <w:tc>
          <w:tcPr>
            <w:tcW w:w="3850" w:type="dxa"/>
            <w:gridSpan w:val="5"/>
            <w:tcBorders>
              <w:top w:val="nil"/>
              <w:left w:val="nil"/>
              <w:bottom w:val="nil"/>
              <w:right w:val="nil"/>
            </w:tcBorders>
            <w:noWrap/>
            <w:vAlign w:val="bottom"/>
          </w:tcPr>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F44C9C" w:rsidRDefault="00F44C9C" w:rsidP="00225925">
            <w:pPr>
              <w:ind w:right="-477"/>
              <w:rPr>
                <w:b/>
                <w:sz w:val="22"/>
                <w:szCs w:val="22"/>
                <w:u w:val="single"/>
              </w:rPr>
            </w:pPr>
          </w:p>
          <w:p w:rsidR="00F44C9C" w:rsidRDefault="00F44C9C" w:rsidP="00225925">
            <w:pPr>
              <w:ind w:right="-477"/>
              <w:rPr>
                <w:b/>
                <w:sz w:val="22"/>
                <w:szCs w:val="22"/>
                <w:u w:val="single"/>
              </w:rPr>
            </w:pPr>
          </w:p>
          <w:p w:rsidR="00F44C9C" w:rsidRDefault="00F44C9C" w:rsidP="00225925">
            <w:pPr>
              <w:ind w:right="-477"/>
              <w:rPr>
                <w:b/>
                <w:sz w:val="22"/>
                <w:szCs w:val="22"/>
                <w:u w:val="single"/>
              </w:rPr>
            </w:pPr>
          </w:p>
          <w:p w:rsidR="00F44C9C" w:rsidRDefault="00F44C9C" w:rsidP="00225925">
            <w:pPr>
              <w:ind w:right="-477"/>
              <w:rPr>
                <w:b/>
                <w:sz w:val="22"/>
                <w:szCs w:val="22"/>
                <w:u w:val="single"/>
              </w:rPr>
            </w:pPr>
          </w:p>
          <w:p w:rsidR="00F44C9C" w:rsidRDefault="00F44C9C" w:rsidP="00225925">
            <w:pPr>
              <w:ind w:right="-477"/>
              <w:rPr>
                <w:b/>
                <w:sz w:val="22"/>
                <w:szCs w:val="22"/>
                <w:u w:val="single"/>
              </w:rPr>
            </w:pPr>
          </w:p>
          <w:p w:rsidR="00F44C9C" w:rsidRDefault="00F44C9C" w:rsidP="00225925">
            <w:pPr>
              <w:ind w:right="-477"/>
              <w:rPr>
                <w:b/>
                <w:sz w:val="22"/>
                <w:szCs w:val="22"/>
                <w:u w:val="single"/>
              </w:rPr>
            </w:pPr>
          </w:p>
          <w:p w:rsidR="00F44C9C" w:rsidRDefault="00F44C9C" w:rsidP="00225925">
            <w:pPr>
              <w:ind w:right="-477"/>
              <w:rPr>
                <w:b/>
                <w:sz w:val="22"/>
                <w:szCs w:val="22"/>
                <w:u w:val="single"/>
              </w:rPr>
            </w:pPr>
          </w:p>
          <w:p w:rsidR="00F44C9C" w:rsidRDefault="00F44C9C" w:rsidP="00225925">
            <w:pPr>
              <w:ind w:right="-477"/>
              <w:rPr>
                <w:b/>
                <w:sz w:val="22"/>
                <w:szCs w:val="22"/>
                <w:u w:val="single"/>
              </w:rPr>
            </w:pPr>
          </w:p>
          <w:p w:rsidR="00F44C9C" w:rsidRDefault="00F44C9C" w:rsidP="00225925">
            <w:pPr>
              <w:ind w:right="-477"/>
              <w:rPr>
                <w:b/>
                <w:sz w:val="22"/>
                <w:szCs w:val="22"/>
                <w:u w:val="single"/>
              </w:rPr>
            </w:pPr>
          </w:p>
          <w:p w:rsidR="00F44C9C" w:rsidRDefault="00F44C9C" w:rsidP="00225925">
            <w:pPr>
              <w:ind w:right="-477"/>
              <w:rPr>
                <w:b/>
                <w:sz w:val="22"/>
                <w:szCs w:val="22"/>
                <w:u w:val="single"/>
              </w:rPr>
            </w:pPr>
          </w:p>
          <w:p w:rsidR="00F44C9C" w:rsidRDefault="00F44C9C" w:rsidP="00225925">
            <w:pPr>
              <w:ind w:right="-477"/>
              <w:rPr>
                <w:b/>
                <w:sz w:val="22"/>
                <w:szCs w:val="22"/>
                <w:u w:val="single"/>
              </w:rPr>
            </w:pPr>
          </w:p>
          <w:p w:rsidR="00003B8C" w:rsidRDefault="00003B8C" w:rsidP="00225925">
            <w:pPr>
              <w:ind w:right="-477"/>
              <w:rPr>
                <w:b/>
                <w:sz w:val="22"/>
                <w:szCs w:val="22"/>
                <w:u w:val="single"/>
              </w:rPr>
            </w:pPr>
          </w:p>
          <w:p w:rsidR="007919F6" w:rsidRPr="00A975B8" w:rsidRDefault="00003B8C" w:rsidP="00EA7316">
            <w:pPr>
              <w:ind w:right="-477"/>
              <w:rPr>
                <w:b/>
                <w:sz w:val="22"/>
                <w:szCs w:val="22"/>
                <w:u w:val="single"/>
              </w:rPr>
            </w:pPr>
            <w:r>
              <w:rPr>
                <w:b/>
                <w:sz w:val="22"/>
                <w:szCs w:val="22"/>
                <w:u w:val="single"/>
              </w:rPr>
              <w:t>O</w:t>
            </w:r>
            <w:r w:rsidR="007919F6">
              <w:rPr>
                <w:b/>
                <w:sz w:val="22"/>
                <w:szCs w:val="22"/>
                <w:u w:val="single"/>
              </w:rPr>
              <w:t xml:space="preserve">blast </w:t>
            </w:r>
            <w:r w:rsidR="00EA7316">
              <w:rPr>
                <w:b/>
                <w:sz w:val="22"/>
                <w:szCs w:val="22"/>
                <w:u w:val="single"/>
              </w:rPr>
              <w:t>Západ</w:t>
            </w:r>
            <w:r w:rsidR="007919F6">
              <w:rPr>
                <w:b/>
                <w:sz w:val="22"/>
                <w:szCs w:val="22"/>
                <w:u w:val="single"/>
              </w:rPr>
              <w:t xml:space="preserve"> - </w:t>
            </w:r>
            <w:r w:rsidR="00F44C9C" w:rsidRPr="00F44C9C">
              <w:rPr>
                <w:b/>
                <w:sz w:val="22"/>
                <w:szCs w:val="22"/>
                <w:u w:val="single"/>
              </w:rPr>
              <w:t>Vranovská Ves</w:t>
            </w: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nil"/>
              <w:right w:val="nil"/>
            </w:tcBorders>
            <w:noWrap/>
            <w:vAlign w:val="bottom"/>
          </w:tcPr>
          <w:p w:rsidR="007919F6" w:rsidRPr="00D8626A" w:rsidRDefault="007919F6" w:rsidP="00225925">
            <w:pPr>
              <w:rPr>
                <w:sz w:val="22"/>
                <w:szCs w:val="22"/>
              </w:rPr>
            </w:pPr>
          </w:p>
        </w:tc>
      </w:tr>
      <w:tr w:rsidR="007919F6" w:rsidRPr="00D8626A" w:rsidTr="007919F6">
        <w:trPr>
          <w:gridAfter w:val="2"/>
          <w:wAfter w:w="408" w:type="dxa"/>
          <w:trHeight w:val="112"/>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D8626A" w:rsidRDefault="007919F6" w:rsidP="00225925">
            <w:pPr>
              <w:rPr>
                <w:sz w:val="22"/>
                <w:szCs w:val="22"/>
              </w:rPr>
            </w:pPr>
          </w:p>
        </w:tc>
        <w:tc>
          <w:tcPr>
            <w:tcW w:w="3850" w:type="dxa"/>
            <w:gridSpan w:val="5"/>
            <w:tcBorders>
              <w:top w:val="nil"/>
              <w:left w:val="nil"/>
              <w:bottom w:val="nil"/>
              <w:right w:val="nil"/>
            </w:tcBorders>
            <w:noWrap/>
            <w:vAlign w:val="bottom"/>
          </w:tcPr>
          <w:p w:rsidR="007919F6" w:rsidRPr="00D8626A" w:rsidRDefault="007919F6" w:rsidP="00225925">
            <w:pPr>
              <w:rPr>
                <w:sz w:val="22"/>
                <w:szCs w:val="22"/>
              </w:rPr>
            </w:pP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single" w:sz="8" w:space="0" w:color="auto"/>
              <w:right w:val="nil"/>
            </w:tcBorders>
            <w:noWrap/>
            <w:vAlign w:val="bottom"/>
          </w:tcPr>
          <w:p w:rsidR="007919F6" w:rsidRPr="00D8626A" w:rsidRDefault="007919F6" w:rsidP="00225925">
            <w:pPr>
              <w:rPr>
                <w:sz w:val="22"/>
                <w:szCs w:val="22"/>
              </w:rPr>
            </w:pPr>
          </w:p>
        </w:tc>
      </w:tr>
      <w:tr w:rsidR="007919F6" w:rsidTr="007919F6">
        <w:tblPrEx>
          <w:tblLook w:val="04A0" w:firstRow="1" w:lastRow="0" w:firstColumn="1" w:lastColumn="0" w:noHBand="0" w:noVBand="1"/>
        </w:tblPrEx>
        <w:trPr>
          <w:gridAfter w:val="1"/>
          <w:wAfter w:w="279" w:type="dxa"/>
          <w:trHeight w:val="282"/>
        </w:trPr>
        <w:tc>
          <w:tcPr>
            <w:tcW w:w="485"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p.č.</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Evidenč. číslo</w:t>
            </w:r>
          </w:p>
        </w:tc>
        <w:tc>
          <w:tcPr>
            <w:tcW w:w="4342" w:type="dxa"/>
            <w:gridSpan w:val="7"/>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Délka</w:t>
            </w:r>
          </w:p>
        </w:tc>
        <w:tc>
          <w:tcPr>
            <w:tcW w:w="717"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Počet polí</w:t>
            </w:r>
          </w:p>
        </w:tc>
        <w:tc>
          <w:tcPr>
            <w:tcW w:w="1222"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ind w:right="161"/>
              <w:jc w:val="center"/>
              <w:rPr>
                <w:rFonts w:ascii="Arial CE" w:hAnsi="Arial CE"/>
                <w:b/>
                <w:bCs/>
                <w:sz w:val="20"/>
                <w:szCs w:val="20"/>
              </w:rPr>
            </w:pPr>
            <w:r>
              <w:rPr>
                <w:rFonts w:ascii="Arial CE" w:hAnsi="Arial CE"/>
                <w:b/>
                <w:bCs/>
                <w:sz w:val="20"/>
                <w:szCs w:val="20"/>
              </w:rPr>
              <w:t>Stavební stav</w:t>
            </w:r>
          </w:p>
        </w:tc>
        <w:tc>
          <w:tcPr>
            <w:tcW w:w="1114" w:type="dxa"/>
            <w:gridSpan w:val="3"/>
            <w:tcBorders>
              <w:top w:val="single" w:sz="8" w:space="0" w:color="auto"/>
              <w:left w:val="nil"/>
              <w:bottom w:val="single" w:sz="4" w:space="0" w:color="auto"/>
              <w:right w:val="single" w:sz="8"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Cena v Kč bez DPH</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361-005</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rPr>
                <w:rFonts w:ascii="Calibri" w:hAnsi="Calibri" w:cs="Calibri"/>
                <w:sz w:val="22"/>
                <w:szCs w:val="22"/>
              </w:rPr>
            </w:pPr>
            <w:r>
              <w:rPr>
                <w:rFonts w:ascii="Calibri" w:hAnsi="Calibri" w:cs="Calibri"/>
                <w:sz w:val="22"/>
                <w:szCs w:val="22"/>
              </w:rPr>
              <w:t>Most přes Slatinský potok v Rozkoši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6,70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6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361-009</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rPr>
                <w:rFonts w:ascii="Calibri" w:hAnsi="Calibri" w:cs="Calibri"/>
                <w:sz w:val="22"/>
                <w:szCs w:val="22"/>
              </w:rPr>
            </w:pPr>
            <w:r>
              <w:rPr>
                <w:rFonts w:ascii="Calibri" w:hAnsi="Calibri" w:cs="Calibri"/>
                <w:sz w:val="22"/>
                <w:szCs w:val="22"/>
              </w:rPr>
              <w:t>Most přes Bojanovický potok v Bojanovicích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5,00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361-011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rPr>
                <w:rFonts w:ascii="Calibri" w:hAnsi="Calibri" w:cs="Calibri"/>
                <w:sz w:val="22"/>
                <w:szCs w:val="22"/>
              </w:rPr>
            </w:pPr>
            <w:r>
              <w:rPr>
                <w:rFonts w:ascii="Calibri" w:hAnsi="Calibri" w:cs="Calibri"/>
                <w:sz w:val="22"/>
                <w:szCs w:val="22"/>
              </w:rPr>
              <w:t>Most přes Plenkovický potok v Hlubokých Mašůvkách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3,00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398-020</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rPr>
                <w:rFonts w:ascii="Calibri" w:hAnsi="Calibri" w:cs="Calibri"/>
                <w:sz w:val="22"/>
                <w:szCs w:val="22"/>
              </w:rPr>
            </w:pPr>
            <w:r>
              <w:rPr>
                <w:rFonts w:ascii="Calibri" w:hAnsi="Calibri" w:cs="Calibri"/>
                <w:sz w:val="22"/>
                <w:szCs w:val="22"/>
              </w:rPr>
              <w:t>Most přes Dyji ve Vranově nad Dyjí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65,40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398-022</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rPr>
                <w:rFonts w:ascii="Calibri" w:hAnsi="Calibri" w:cs="Calibri"/>
                <w:sz w:val="22"/>
                <w:szCs w:val="22"/>
              </w:rPr>
            </w:pPr>
            <w:r>
              <w:rPr>
                <w:rFonts w:ascii="Calibri" w:hAnsi="Calibri" w:cs="Calibri"/>
                <w:sz w:val="22"/>
                <w:szCs w:val="22"/>
              </w:rPr>
              <w:t>Most přes odtokovou stoku za Šafovem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3,00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30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Arial CE" w:hAnsi="Arial CE" w:cs="Arial CE"/>
                <w:sz w:val="20"/>
                <w:szCs w:val="20"/>
              </w:rPr>
            </w:pPr>
            <w:r>
              <w:rPr>
                <w:rFonts w:ascii="Arial CE" w:hAnsi="Arial CE" w:cs="Arial CE"/>
                <w:sz w:val="20"/>
                <w:szCs w:val="20"/>
              </w:rPr>
              <w:t>3986-2</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rPr>
                <w:rFonts w:ascii="Calibri" w:hAnsi="Calibri" w:cs="Calibri"/>
                <w:sz w:val="22"/>
                <w:szCs w:val="22"/>
              </w:rPr>
            </w:pPr>
            <w:r>
              <w:rPr>
                <w:rFonts w:ascii="Calibri" w:hAnsi="Calibri" w:cs="Calibri"/>
                <w:sz w:val="22"/>
                <w:szCs w:val="22"/>
              </w:rPr>
              <w:t>Most přes Jevišovku v Boskovštejně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9,90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F44C9C" w:rsidRDefault="00F44C9C" w:rsidP="00F44C9C">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4001-1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Nedveku v Hostimi</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4,90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bookmarkStart w:id="0" w:name="_GoBack" w:colFirst="6" w:colLast="6"/>
            <w:r>
              <w:rPr>
                <w:rFonts w:ascii="Arial CE" w:hAnsi="Arial CE" w:cs="Arial CE"/>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4001-2</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zátopní území za Hostimí</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2,50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4003-2</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svodnici ve Slatině</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3,96</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II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4003-3</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Slatinský potok za Slatinou</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2,10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39817-1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místní potok ve Starém Petříně</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3,55</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12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40822-2</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Klaperův potok za Horním Břečkovem</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3,40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44C9C" w:rsidRDefault="00F44C9C" w:rsidP="00F44C9C">
            <w:pPr>
              <w:jc w:val="center"/>
            </w:pPr>
            <w:r w:rsidRPr="00161776">
              <w:rPr>
                <w:rFonts w:ascii="Arial" w:hAnsi="Arial" w:cs="Arial"/>
                <w:sz w:val="20"/>
                <w:szCs w:val="20"/>
                <w:highlight w:val="yellow"/>
              </w:rPr>
              <w:t>***</w:t>
            </w:r>
          </w:p>
        </w:tc>
      </w:tr>
      <w:bookmarkEnd w:id="0"/>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13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40823-3</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Mramotický potok ve Vracovicích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2,30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14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40929-1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Stálecký potok ve Stálkách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3,90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44C9C" w:rsidRDefault="00F44C9C" w:rsidP="00F44C9C">
            <w:pPr>
              <w:jc w:val="center"/>
            </w:pPr>
            <w:r w:rsidRPr="00161776">
              <w:rPr>
                <w:rFonts w:ascii="Arial" w:hAnsi="Arial" w:cs="Arial"/>
                <w:sz w:val="20"/>
                <w:szCs w:val="20"/>
                <w:highlight w:val="yellow"/>
              </w:rPr>
              <w:t>***</w:t>
            </w:r>
          </w:p>
        </w:tc>
      </w:tr>
      <w:tr w:rsidR="00F44C9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15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Arial CE" w:hAnsi="Arial CE" w:cs="Arial CE"/>
                <w:sz w:val="20"/>
                <w:szCs w:val="20"/>
              </w:rPr>
            </w:pPr>
            <w:r>
              <w:rPr>
                <w:rFonts w:ascii="Arial CE" w:hAnsi="Arial CE" w:cs="Arial CE"/>
                <w:sz w:val="20"/>
                <w:szCs w:val="20"/>
              </w:rPr>
              <w:t>41112-1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rPr>
                <w:rFonts w:ascii="Calibri" w:hAnsi="Calibri" w:cs="Calibri"/>
                <w:sz w:val="22"/>
                <w:szCs w:val="22"/>
              </w:rPr>
            </w:pPr>
            <w:r>
              <w:rPr>
                <w:rFonts w:ascii="Calibri" w:hAnsi="Calibri" w:cs="Calibri"/>
                <w:sz w:val="22"/>
                <w:szCs w:val="22"/>
              </w:rPr>
              <w:t>Most přes Dešovský potok před Zblovicemi</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F44C9C" w:rsidRDefault="00F44C9C" w:rsidP="00F44C9C">
            <w:pPr>
              <w:jc w:val="center"/>
              <w:rPr>
                <w:rFonts w:ascii="Calibri" w:hAnsi="Calibri" w:cs="Calibri"/>
                <w:sz w:val="22"/>
                <w:szCs w:val="22"/>
              </w:rPr>
            </w:pPr>
            <w:r>
              <w:rPr>
                <w:rFonts w:ascii="Calibri" w:hAnsi="Calibri" w:cs="Calibri"/>
                <w:sz w:val="22"/>
                <w:szCs w:val="22"/>
              </w:rPr>
              <w:t>3,35</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F44C9C" w:rsidRDefault="00F44C9C" w:rsidP="00F44C9C">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F44C9C" w:rsidRDefault="00F44C9C" w:rsidP="00F44C9C">
            <w:pPr>
              <w:jc w:val="center"/>
            </w:pPr>
            <w:r w:rsidRPr="00161776">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8"/>
            <w:tcBorders>
              <w:top w:val="single" w:sz="4" w:space="0" w:color="auto"/>
              <w:left w:val="single" w:sz="8" w:space="0" w:color="auto"/>
              <w:bottom w:val="single" w:sz="4" w:space="0" w:color="auto"/>
              <w:right w:val="single" w:sz="4" w:space="0" w:color="auto"/>
            </w:tcBorders>
            <w:shd w:val="clear" w:color="auto" w:fill="auto"/>
            <w:noWrap/>
            <w:vAlign w:val="center"/>
          </w:tcPr>
          <w:p w:rsidR="007919F6" w:rsidRDefault="007919F6" w:rsidP="00225925">
            <w:pPr>
              <w:rPr>
                <w:rFonts w:ascii="Arial" w:hAnsi="Arial" w:cs="Arial"/>
                <w:sz w:val="20"/>
                <w:szCs w:val="20"/>
              </w:rPr>
            </w:pPr>
            <w:r>
              <w:rPr>
                <w:rFonts w:ascii="Arial" w:hAnsi="Arial" w:cs="Arial"/>
                <w:sz w:val="20"/>
                <w:szCs w:val="20"/>
              </w:rPr>
              <w:t xml:space="preserve"> Cena celkem v Kč bez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1405ED">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8"/>
            <w:tcBorders>
              <w:top w:val="nil"/>
              <w:left w:val="single" w:sz="8" w:space="0" w:color="auto"/>
              <w:bottom w:val="single" w:sz="4" w:space="0" w:color="auto"/>
              <w:right w:val="single" w:sz="4" w:space="0" w:color="auto"/>
            </w:tcBorders>
            <w:shd w:val="clear" w:color="auto" w:fill="auto"/>
            <w:noWrap/>
            <w:vAlign w:val="center"/>
          </w:tcPr>
          <w:p w:rsidR="007919F6" w:rsidRPr="00943BB1" w:rsidRDefault="007919F6" w:rsidP="00225925">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5430C8">
              <w:rPr>
                <w:rFonts w:ascii="Arial" w:hAnsi="Arial" w:cs="Arial"/>
                <w:sz w:val="20"/>
                <w:szCs w:val="20"/>
                <w:highlight w:val="yellow"/>
              </w:rPr>
              <w:t>***</w:t>
            </w:r>
          </w:p>
        </w:tc>
      </w:tr>
    </w:tbl>
    <w:p w:rsidR="007919F6" w:rsidRPr="000428DA" w:rsidRDefault="007919F6" w:rsidP="007919F6">
      <w:pPr>
        <w:spacing w:before="120" w:after="120"/>
        <w:jc w:val="both"/>
        <w:rPr>
          <w:sz w:val="10"/>
          <w:szCs w:val="10"/>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175A39">
        <w:rPr>
          <w:sz w:val="22"/>
          <w:szCs w:val="22"/>
        </w:rPr>
        <w:t>4</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F44C9C">
      <w:rPr>
        <w:noProof/>
      </w:rPr>
      <w:t>7</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F44C9C">
      <w:rPr>
        <w:noProof/>
      </w:rPr>
      <w:t>9</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F44C9C">
          <w:pPr>
            <w:spacing w:before="100" w:after="100" w:line="240" w:lineRule="exact"/>
          </w:pPr>
          <w:r>
            <w:rPr>
              <w:i/>
              <w:sz w:val="16"/>
              <w:szCs w:val="16"/>
            </w:rPr>
            <w:t>Hl</w:t>
          </w:r>
          <w:r w:rsidR="00225B93">
            <w:rPr>
              <w:i/>
              <w:sz w:val="16"/>
              <w:szCs w:val="16"/>
            </w:rPr>
            <w:t xml:space="preserve">avní prohlídky mostů v roce </w:t>
          </w:r>
          <w:r w:rsidR="001E6D43">
            <w:rPr>
              <w:i/>
              <w:sz w:val="16"/>
              <w:szCs w:val="16"/>
            </w:rPr>
            <w:t>202</w:t>
          </w:r>
          <w:r w:rsidR="00185B61">
            <w:rPr>
              <w:i/>
              <w:sz w:val="16"/>
              <w:szCs w:val="16"/>
            </w:rPr>
            <w:t>5</w:t>
          </w:r>
          <w:r w:rsidR="001E6D43">
            <w:rPr>
              <w:i/>
              <w:sz w:val="16"/>
              <w:szCs w:val="16"/>
            </w:rPr>
            <w:t xml:space="preserve"> </w:t>
          </w:r>
          <w:r w:rsidR="00EA7316" w:rsidRPr="00EA7316">
            <w:rPr>
              <w:i/>
              <w:sz w:val="16"/>
              <w:szCs w:val="16"/>
            </w:rPr>
            <w:t xml:space="preserve">cestmistrovství </w:t>
          </w:r>
          <w:r w:rsidR="00F44C9C" w:rsidRPr="00F44C9C">
            <w:rPr>
              <w:i/>
              <w:sz w:val="16"/>
              <w:szCs w:val="16"/>
            </w:rPr>
            <w:t xml:space="preserve"> Moravský Krumlov a Vranovská Ves</w:t>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BE4C22"/>
    <w:multiLevelType w:val="hybridMultilevel"/>
    <w:tmpl w:val="C61471FA"/>
    <w:lvl w:ilvl="0" w:tplc="2EB8B21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7"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5"/>
  </w:num>
  <w:num w:numId="4">
    <w:abstractNumId w:val="0"/>
  </w:num>
  <w:num w:numId="5">
    <w:abstractNumId w:val="7"/>
  </w:num>
  <w:num w:numId="6">
    <w:abstractNumId w:val="9"/>
  </w:num>
  <w:num w:numId="7">
    <w:abstractNumId w:val="6"/>
  </w:num>
  <w:num w:numId="8">
    <w:abstractNumId w:val="3"/>
  </w:num>
  <w:num w:numId="9">
    <w:abstractNumId w:val="4"/>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3B8C"/>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85B61"/>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15D1"/>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77A77"/>
    <w:rsid w:val="0028258B"/>
    <w:rsid w:val="00283AE3"/>
    <w:rsid w:val="002865D7"/>
    <w:rsid w:val="00287322"/>
    <w:rsid w:val="00290235"/>
    <w:rsid w:val="00290DCC"/>
    <w:rsid w:val="0029243F"/>
    <w:rsid w:val="002A13F5"/>
    <w:rsid w:val="002A1DFA"/>
    <w:rsid w:val="002B541A"/>
    <w:rsid w:val="002C10C0"/>
    <w:rsid w:val="002C2E62"/>
    <w:rsid w:val="002C3A00"/>
    <w:rsid w:val="002D0F16"/>
    <w:rsid w:val="002D6BDD"/>
    <w:rsid w:val="002E2E40"/>
    <w:rsid w:val="002E6191"/>
    <w:rsid w:val="002E7A9C"/>
    <w:rsid w:val="002E7EE5"/>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0872"/>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37F03"/>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7C25"/>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0DD1"/>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19F6"/>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2715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A7C48"/>
    <w:rsid w:val="00AB3867"/>
    <w:rsid w:val="00AB44B5"/>
    <w:rsid w:val="00AC2F12"/>
    <w:rsid w:val="00AC35FB"/>
    <w:rsid w:val="00AC58D1"/>
    <w:rsid w:val="00AC6766"/>
    <w:rsid w:val="00AC749A"/>
    <w:rsid w:val="00AD06C9"/>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1293"/>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901"/>
    <w:rsid w:val="00CD7D25"/>
    <w:rsid w:val="00CE2763"/>
    <w:rsid w:val="00CE42E0"/>
    <w:rsid w:val="00CE5EC9"/>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A7316"/>
    <w:rsid w:val="00EB03FD"/>
    <w:rsid w:val="00EB0713"/>
    <w:rsid w:val="00EB43C0"/>
    <w:rsid w:val="00EB51F9"/>
    <w:rsid w:val="00EC1851"/>
    <w:rsid w:val="00EC1D30"/>
    <w:rsid w:val="00ED4B83"/>
    <w:rsid w:val="00ED57B6"/>
    <w:rsid w:val="00EE086A"/>
    <w:rsid w:val="00EF1CF4"/>
    <w:rsid w:val="00F00594"/>
    <w:rsid w:val="00F00656"/>
    <w:rsid w:val="00F05073"/>
    <w:rsid w:val="00F1627E"/>
    <w:rsid w:val="00F22FDA"/>
    <w:rsid w:val="00F233A4"/>
    <w:rsid w:val="00F24BFE"/>
    <w:rsid w:val="00F2527D"/>
    <w:rsid w:val="00F26D3F"/>
    <w:rsid w:val="00F3174C"/>
    <w:rsid w:val="00F331F5"/>
    <w:rsid w:val="00F34C28"/>
    <w:rsid w:val="00F354CE"/>
    <w:rsid w:val="00F4067D"/>
    <w:rsid w:val="00F43769"/>
    <w:rsid w:val="00F44C9C"/>
    <w:rsid w:val="00F46082"/>
    <w:rsid w:val="00F54158"/>
    <w:rsid w:val="00F6555D"/>
    <w:rsid w:val="00F66CA3"/>
    <w:rsid w:val="00F72422"/>
    <w:rsid w:val="00F74F5D"/>
    <w:rsid w:val="00F756E6"/>
    <w:rsid w:val="00F91E30"/>
    <w:rsid w:val="00F938DE"/>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AB93B2"/>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240483307">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BB9F8-8EFF-492D-A276-AE634AB16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9</Pages>
  <Words>2240</Words>
  <Characters>13220</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66</cp:revision>
  <cp:lastPrinted>2019-02-11T11:28:00Z</cp:lastPrinted>
  <dcterms:created xsi:type="dcterms:W3CDTF">2018-02-21T09:59:00Z</dcterms:created>
  <dcterms:modified xsi:type="dcterms:W3CDTF">2025-03-05T06:54:00Z</dcterms:modified>
</cp:coreProperties>
</file>